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Доклад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контрольной (надзорной) деятельности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Дальневосточном управлении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Федеральной служб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ы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по экологическому, технологическому и атомному надзору при осуществлении федерального государственного горного надзора за 2023 год</w:t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lang w:eastAsia="ru-RU" w:bidi="ru-RU"/>
        </w:rPr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при осуществлении федерального государственного горного надзора подготовлен в целях реализации положений Федерального закона от 31 июля 2020 г. № 248-ФЗ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«О государственном контроле (надзоре) и муниципальном контроле», постановления Правительства Российской Федерации от 30 июня 2021 г.                      № 1074 «О федеральном государственном горном надзоре»,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с приказом Федеральной службы по экологическому, технологическому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и атомному надзору от 23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по экологическому, технологическому и атомному надзору».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Ростехнадзором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, и проводится </w:t>
      </w:r>
      <w:r>
        <w:rPr>
          <w:rFonts w:ascii="Times New Roman" w:hAnsi="Times New Roman" w:eastAsia="Calibri" w:cs="Times New Roman"/>
          <w:sz w:val="28"/>
          <w:szCs w:val="28"/>
          <w:lang w:bidi="ru-RU"/>
        </w:rPr>
        <w:br/>
        <w:t xml:space="preserve">для решения следующих задач: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об актуализации обязательных требований;</w:t>
      </w:r>
      <w:r/>
    </w:p>
    <w:p>
      <w:pPr>
        <w:contextualSpacing/>
        <w:ind w:firstLine="539"/>
        <w:jc w:val="both"/>
        <w:spacing w:after="160"/>
        <w:rPr>
          <w:rFonts w:ascii="Times New Roman" w:hAnsi="Times New Roman" w:eastAsia="Calibri" w:cs="Times New Roman"/>
          <w:sz w:val="28"/>
          <w:szCs w:val="28"/>
          <w:lang w:bidi="ru-RU"/>
        </w:rPr>
      </w:pPr>
      <w:r>
        <w:rPr>
          <w:rFonts w:ascii="Times New Roman" w:hAnsi="Times New Roman" w:eastAsia="Calibri" w:cs="Times New Roman"/>
          <w:sz w:val="28"/>
          <w:szCs w:val="28"/>
          <w:lang w:bidi="ru-RU"/>
        </w:rPr>
        <w:t xml:space="preserve"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горного надзора применяются следующие основные нормативные правовые акты:</w:t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9606"/>
      </w:tblGrid>
      <w:tr>
        <w:trPr/>
        <w:tc>
          <w:tcPr>
            <w:tcW w:w="9606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Закон Российской Федерации от 21.02.1992 № 2395-1 «О недрах»</w:t>
            </w:r>
            <w:r/>
          </w:p>
        </w:tc>
      </w:tr>
    </w:tbl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ind w:firstLine="720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2023 году федеральный государственный горный надзор осуществлялся в отношении 30 объектов пользования недрами. Количество поднадзорных организаций, осуществляющих деятельность на объектах пользования недрами, составило 25.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зарегистрировано (в 2022 году – 0) </w:t>
      </w:r>
      <w:r/>
    </w:p>
    <w:p>
      <w:pPr>
        <w:contextualSpacing/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проведено  0 внеплановых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контрольных (надзорных) мероприятий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(в 2022 году –  0)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В ходе проведения проверок выявлено 0 правонарушений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обязательных требований по безопасному ведению работ, связанных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 пользованием недрами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. По результатам проверок назначено 0 административных наказаний. Административное приостановление деятельности применялось 0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раз, временный запрет деятельности 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раз.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безопасному ведению работ, связанных с пользованием недрами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, наложено 0 административных штрафов.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его должностных лиц: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проверок в 2023 году соблюдены.</w:t>
      </w:r>
      <w:r/>
    </w:p>
    <w:p>
      <w:pPr>
        <w:contextualSpacing/>
        <w:ind w:firstLine="709"/>
        <w:jc w:val="both"/>
        <w:spacing w:after="0"/>
        <w:widowControl w:val="off"/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 w:bidi="ru-RU"/>
        </w:rPr>
        <w:t xml:space="preserve">по безопасному ведению работ, связанных с пользованием недрами, следует отнести:</w:t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Нарушения не выявлены</w:t>
            </w:r>
            <w:r/>
          </w:p>
        </w:tc>
      </w:tr>
    </w:tbl>
    <w:p>
      <w:pPr>
        <w:contextualSpacing/>
        <w:ind w:firstLine="709"/>
        <w:jc w:val="both"/>
        <w:spacing w:after="0"/>
        <w:tabs>
          <w:tab w:val="left" w:pos="181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горного 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 не выявлено.</w:t>
      </w:r>
      <w:r/>
    </w:p>
    <w:tbl>
      <w:tblPr>
        <w:tblStyle w:val="666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contextualSpacing/>
              <w:ind w:firstLine="738"/>
              <w:jc w:val="both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 w:bidi="ru-RU"/>
              </w:rPr>
              <w:t xml:space="preserve">Не выявлено</w:t>
            </w:r>
            <w:r/>
          </w:p>
        </w:tc>
      </w:tr>
    </w:tbl>
    <w:p>
      <w:pPr>
        <w:ind w:firstLine="709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в 2023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на постоянной основе реализовывались следующие мероприятия: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отношении 20 объектов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пользования недрами было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осуществлено </w:t>
      </w:r>
      <w:r>
        <w:rPr>
          <w:rFonts w:ascii="Times New Roman" w:hAnsi="Times New Roman" w:eastAsia="Calibri" w:cs="Times New Roman"/>
          <w:sz w:val="28"/>
          <w:szCs w:val="28"/>
        </w:rPr>
        <w:br/>
        <w:t xml:space="preserve">20 профилактических визитов (обязательных профилактических визитов);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проводилась работа по консультированию поднадзорных юридических лиц (индивидуальных предпринимателей), эксплуатирующих объекты пользования недрами, по вопросам, связанным с организацией и осуществлением горного надзора;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осуществлялось информирование юридических лиц (индивидуальных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предпринимателей) по вопросам соблюдения обязательных требований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в области безопасного ведения работ, связанных с пользованием недрами: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проведены семинары,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вебинары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конференции; 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на внедрение и обеспечение соблюдения обязательных требований;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Ростех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надзора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сети «Интер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горного надзора, привлечения к административной ответственности;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граждан и юридических лиц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основными факторами риска причинения вреда (ущерба) являются: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большое количество находящегося в эксплуатации оборудования, отработавшего свой расчётный срок службы (ресурс);</w:t>
      </w:r>
      <w:r/>
    </w:p>
    <w:p>
      <w:pPr>
        <w:contextualSpacing/>
        <w:ind w:firstLine="708"/>
        <w:jc w:val="both"/>
        <w:spacing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связи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по соблюдению требований в области безопасного ведения работ, связанных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/>
        <w:t xml:space="preserve">с пользованием недрами: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  <w:r/>
    </w:p>
    <w:p>
      <w:pPr>
        <w:contextualSpacing/>
        <w:ind w:firstLine="709"/>
        <w:jc w:val="both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безопасного ведения работ, связанных с пользованием недрами.</w:t>
      </w:r>
      <w:r/>
    </w:p>
    <w:p>
      <w:pPr>
        <w:contextualSpacing/>
        <w:jc w:val="center"/>
        <w:spacing w:after="0"/>
        <w:widowControl w:val="off"/>
        <w:tabs>
          <w:tab w:val="left" w:pos="1000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</w:t>
      </w:r>
      <w:r/>
    </w:p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1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44501514"/>
      <w:docPartObj>
        <w:docPartGallery w:val="Page Numbers (Top of Page)"/>
        <w:docPartUnique w:val="true"/>
      </w:docPartObj>
      <w:rPr/>
    </w:sdtPr>
    <w:sdtContent>
      <w:p>
        <w:pPr>
          <w:pStyle w:val="66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  <w:r/>
      </w:p>
    </w:sdtContent>
  </w:sdt>
  <w:p>
    <w:pPr>
      <w:pStyle w:val="66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9"/>
    <w:next w:val="65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0"/>
    <w:link w:val="34"/>
    <w:uiPriority w:val="10"/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0"/>
    <w:link w:val="667"/>
    <w:uiPriority w:val="99"/>
  </w:style>
  <w:style w:type="paragraph" w:styleId="44">
    <w:name w:val="Footer"/>
    <w:basedOn w:val="65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60"/>
    <w:link w:val="44"/>
    <w:uiPriority w:val="99"/>
  </w:style>
  <w:style w:type="paragraph" w:styleId="46">
    <w:name w:val="Caption"/>
    <w:basedOn w:val="659"/>
    <w:next w:val="6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663"/>
    <w:uiPriority w:val="99"/>
    <w:rPr>
      <w:sz w:val="18"/>
    </w:rPr>
  </w:style>
  <w:style w:type="paragraph" w:styleId="178">
    <w:name w:val="endnote text"/>
    <w:basedOn w:val="65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0"/>
    <w:uiPriority w:val="99"/>
    <w:semiHidden/>
    <w:unhideWhenUsed/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9"/>
    <w:next w:val="65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9"/>
    <w:next w:val="65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9"/>
    <w:next w:val="65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9"/>
    <w:next w:val="65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9"/>
    <w:next w:val="65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9"/>
    <w:next w:val="65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9"/>
    <w:next w:val="65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9"/>
    <w:next w:val="65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9"/>
    <w:next w:val="659"/>
    <w:uiPriority w:val="99"/>
    <w:unhideWhenUsed/>
    <w:pPr>
      <w:spacing w:after="0" w:afterAutospacing="0"/>
    </w:pPr>
  </w:style>
  <w:style w:type="paragraph" w:styleId="659" w:default="1">
    <w:name w:val="Normal"/>
    <w:qFormat/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>
    <w:name w:val="footnote text"/>
    <w:basedOn w:val="659"/>
    <w:link w:val="664"/>
    <w:uiPriority w:val="99"/>
    <w:semiHidden/>
    <w:unhideWhenUsed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4" w:customStyle="1">
    <w:name w:val="Текст сноски Знак"/>
    <w:basedOn w:val="660"/>
    <w:link w:val="663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665">
    <w:name w:val="footnote reference"/>
    <w:basedOn w:val="660"/>
    <w:uiPriority w:val="99"/>
    <w:semiHidden/>
    <w:unhideWhenUsed/>
    <w:rPr>
      <w:vertAlign w:val="superscript"/>
    </w:rPr>
  </w:style>
  <w:style w:type="table" w:styleId="666">
    <w:name w:val="Table Grid"/>
    <w:basedOn w:val="6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7">
    <w:name w:val="Header"/>
    <w:basedOn w:val="659"/>
    <w:link w:val="668"/>
    <w:uiPriority w:val="99"/>
    <w:unhideWhenUsed/>
    <w:pPr>
      <w:jc w:val="both"/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8" w:customStyle="1">
    <w:name w:val="Верхний колонтитул Знак"/>
    <w:basedOn w:val="660"/>
    <w:link w:val="66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revision>5</cp:revision>
  <dcterms:created xsi:type="dcterms:W3CDTF">2024-01-29T23:08:00Z</dcterms:created>
  <dcterms:modified xsi:type="dcterms:W3CDTF">2024-01-31T01:56:29Z</dcterms:modified>
</cp:coreProperties>
</file>